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67" w:rsidRPr="002D23E9" w:rsidRDefault="00E75367" w:rsidP="00E7536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E9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D23E9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E75367" w:rsidRPr="002D23E9" w:rsidRDefault="00B5377D" w:rsidP="00B5377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75367" w:rsidRPr="002D23E9">
        <w:rPr>
          <w:rFonts w:ascii="Times New Roman" w:hAnsi="Times New Roman" w:cs="Times New Roman"/>
          <w:sz w:val="24"/>
          <w:szCs w:val="24"/>
        </w:rPr>
        <w:t xml:space="preserve"> 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5367" w:rsidRPr="002D23E9">
        <w:rPr>
          <w:rFonts w:ascii="Times New Roman" w:hAnsi="Times New Roman" w:cs="Times New Roman"/>
          <w:sz w:val="24"/>
          <w:szCs w:val="24"/>
        </w:rPr>
        <w:t>.08.2014г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367"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367" w:rsidRPr="002D23E9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E75367" w:rsidRPr="002D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67" w:rsidRPr="002D23E9" w:rsidRDefault="00E75367" w:rsidP="00B5377D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77D">
        <w:rPr>
          <w:rFonts w:ascii="Times New Roman" w:hAnsi="Times New Roman" w:cs="Times New Roman"/>
          <w:sz w:val="24"/>
          <w:szCs w:val="24"/>
        </w:rPr>
        <w:t>Директор</w:t>
      </w:r>
      <w:r w:rsidRPr="002D23E9">
        <w:rPr>
          <w:rFonts w:ascii="Times New Roman" w:hAnsi="Times New Roman" w:cs="Times New Roman"/>
          <w:sz w:val="24"/>
          <w:szCs w:val="24"/>
        </w:rPr>
        <w:t xml:space="preserve">  МК</w:t>
      </w:r>
      <w:r>
        <w:rPr>
          <w:rFonts w:ascii="Times New Roman" w:hAnsi="Times New Roman" w:cs="Times New Roman"/>
          <w:sz w:val="24"/>
          <w:szCs w:val="24"/>
        </w:rPr>
        <w:t>ОУ Митрофановской СОШ</w:t>
      </w:r>
    </w:p>
    <w:p w:rsidR="00E75367" w:rsidRPr="002D23E9" w:rsidRDefault="00E75367" w:rsidP="00B5377D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О.Н.Косолапенков</w:t>
      </w:r>
      <w:r w:rsidR="00B5377D">
        <w:rPr>
          <w:rFonts w:ascii="Times New Roman" w:hAnsi="Times New Roman" w:cs="Times New Roman"/>
          <w:sz w:val="24"/>
          <w:szCs w:val="24"/>
        </w:rPr>
        <w:t>а</w:t>
      </w:r>
      <w:r w:rsidRPr="002D2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236" w:rsidRPr="008F1D3C" w:rsidRDefault="00E75367" w:rsidP="008F1D3C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3A1B">
        <w:rPr>
          <w:rFonts w:ascii="Times New Roman" w:hAnsi="Times New Roman" w:cs="Times New Roman"/>
          <w:sz w:val="24"/>
          <w:szCs w:val="24"/>
        </w:rPr>
        <w:t xml:space="preserve">                       Приказ № 205 </w:t>
      </w:r>
      <w:r w:rsidRPr="002D23E9">
        <w:rPr>
          <w:rFonts w:ascii="Times New Roman" w:hAnsi="Times New Roman" w:cs="Times New Roman"/>
          <w:sz w:val="24"/>
          <w:szCs w:val="24"/>
        </w:rPr>
        <w:t>от 26 .08.2014г</w:t>
      </w:r>
      <w:r w:rsidR="005D3A1B">
        <w:rPr>
          <w:rFonts w:ascii="Times New Roman" w:hAnsi="Times New Roman" w:cs="Times New Roman"/>
          <w:sz w:val="24"/>
          <w:szCs w:val="24"/>
        </w:rPr>
        <w:t>.</w:t>
      </w: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D23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B5236" w:rsidRDefault="008B5236" w:rsidP="008B52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0367FE">
        <w:rPr>
          <w:rFonts w:ascii="Times New Roman" w:hAnsi="Times New Roman"/>
          <w:b/>
          <w:bCs/>
          <w:kern w:val="36"/>
          <w:sz w:val="24"/>
          <w:szCs w:val="24"/>
        </w:rPr>
        <w:t xml:space="preserve">Положение </w:t>
      </w:r>
    </w:p>
    <w:p w:rsidR="00E75367" w:rsidRDefault="008B5236" w:rsidP="008B52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E75367">
        <w:rPr>
          <w:rFonts w:ascii="Times New Roman" w:hAnsi="Times New Roman"/>
          <w:b/>
          <w:bCs/>
          <w:kern w:val="36"/>
          <w:sz w:val="24"/>
          <w:szCs w:val="24"/>
        </w:rPr>
        <w:t xml:space="preserve">о публичном докладе </w:t>
      </w:r>
    </w:p>
    <w:p w:rsidR="00E75367" w:rsidRPr="00202874" w:rsidRDefault="008B5236" w:rsidP="00E75367">
      <w:pPr>
        <w:tabs>
          <w:tab w:val="left" w:pos="6860"/>
          <w:tab w:val="left" w:pos="948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67">
        <w:rPr>
          <w:rFonts w:ascii="Times New Roman" w:hAnsi="Times New Roman"/>
          <w:bCs/>
          <w:sz w:val="24"/>
          <w:szCs w:val="24"/>
        </w:rPr>
        <w:t xml:space="preserve"> </w:t>
      </w:r>
      <w:r w:rsidR="00E75367" w:rsidRPr="00202874">
        <w:rPr>
          <w:rFonts w:ascii="Times New Roman" w:hAnsi="Times New Roman" w:cs="Times New Roman"/>
          <w:b/>
          <w:sz w:val="24"/>
          <w:szCs w:val="24"/>
        </w:rPr>
        <w:t xml:space="preserve">МКОУ Митрофановской СОШ   Кантемировского муниципального района </w:t>
      </w:r>
    </w:p>
    <w:p w:rsidR="00E75367" w:rsidRPr="00202874" w:rsidRDefault="00E75367" w:rsidP="00E75367">
      <w:pPr>
        <w:tabs>
          <w:tab w:val="left" w:pos="6860"/>
          <w:tab w:val="left" w:pos="948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7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B5236" w:rsidRPr="000367FE" w:rsidRDefault="008B5236" w:rsidP="00E753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5236" w:rsidRPr="000367FE" w:rsidRDefault="008B5236" w:rsidP="008B52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7F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367FE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8B5236" w:rsidRPr="00C233F2" w:rsidRDefault="008B5236" w:rsidP="008B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33F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233F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письмом Министерства образования и науки РФ от 28.10.2010 года № 13-312 «О подготовке Публичных докладов»,  приказа департамента образования, науки и молодежной политики Воронежской области от 29.04.2011 г. № 386 «Об утверждении </w:t>
      </w:r>
      <w:r w:rsidRPr="00C233F2">
        <w:rPr>
          <w:rFonts w:ascii="Times New Roman" w:hAnsi="Times New Roman"/>
          <w:bCs/>
          <w:sz w:val="24"/>
          <w:szCs w:val="24"/>
        </w:rPr>
        <w:t xml:space="preserve">Примерного положения о Публичных докладах общеобразовательных </w:t>
      </w:r>
      <w:r>
        <w:rPr>
          <w:rFonts w:ascii="Times New Roman" w:hAnsi="Times New Roman"/>
          <w:bCs/>
          <w:sz w:val="24"/>
          <w:szCs w:val="24"/>
        </w:rPr>
        <w:t>учреждений Воронежской области»</w:t>
      </w:r>
      <w:r w:rsidRPr="00C233F2">
        <w:rPr>
          <w:rFonts w:ascii="Times New Roman" w:hAnsi="Times New Roman"/>
          <w:bCs/>
          <w:sz w:val="24"/>
          <w:szCs w:val="24"/>
        </w:rPr>
        <w:t xml:space="preserve"> в </w:t>
      </w:r>
      <w:r w:rsidRPr="00C233F2">
        <w:rPr>
          <w:rFonts w:ascii="Times New Roman" w:hAnsi="Times New Roman"/>
          <w:sz w:val="24"/>
          <w:szCs w:val="24"/>
        </w:rPr>
        <w:t xml:space="preserve"> целях развития системы обеспечения качества образовательных услуг,   повышения открытости и инвестиционной привлекательности сферы образования.  </w:t>
      </w:r>
      <w:proofErr w:type="gramEnd"/>
    </w:p>
    <w:p w:rsidR="008B5236" w:rsidRPr="00E75367" w:rsidRDefault="008B5236" w:rsidP="008B5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1.2. </w:t>
      </w:r>
      <w:r w:rsidRPr="00E7536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Публичный доклад (далее Доклад) </w:t>
      </w:r>
      <w:r w:rsidRPr="00E753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аналитический публичный документ в форме </w:t>
      </w:r>
      <w:r w:rsidRPr="00E75367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периодического отчета </w:t>
      </w:r>
      <w:r w:rsidR="00E75367">
        <w:rPr>
          <w:rFonts w:ascii="Times New Roman" w:hAnsi="Times New Roman" w:cs="Times New Roman"/>
          <w:color w:val="000000"/>
          <w:spacing w:val="16"/>
          <w:sz w:val="24"/>
          <w:szCs w:val="24"/>
        </w:rPr>
        <w:t>МКОУ Митрофановской СОШ</w:t>
      </w:r>
      <w:r w:rsidRPr="00E7536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(далее Учреждение) перед обществом, обеспечивающий </w:t>
      </w:r>
      <w:r w:rsidRPr="00E753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регулярное (ежегодное) информирование всех заинтересованных сторон о </w:t>
      </w:r>
      <w:r w:rsidRPr="00E75367">
        <w:rPr>
          <w:rFonts w:ascii="Times New Roman" w:hAnsi="Times New Roman" w:cs="Times New Roman"/>
          <w:color w:val="000000"/>
          <w:spacing w:val="19"/>
          <w:sz w:val="24"/>
          <w:szCs w:val="24"/>
        </w:rPr>
        <w:t>состоянии и перспективах развития  У</w:t>
      </w:r>
      <w:r w:rsidRPr="00E75367">
        <w:rPr>
          <w:rFonts w:ascii="Times New Roman" w:hAnsi="Times New Roman" w:cs="Times New Roman"/>
          <w:color w:val="000000"/>
          <w:spacing w:val="3"/>
          <w:sz w:val="24"/>
          <w:szCs w:val="24"/>
        </w:rPr>
        <w:t>чреждения.</w:t>
      </w:r>
    </w:p>
    <w:p w:rsidR="008B5236" w:rsidRPr="00E75367" w:rsidRDefault="008B5236" w:rsidP="008B5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Публичный доклад адресован широкому кругу читателей: </w:t>
      </w:r>
      <w:r w:rsidRPr="00E7536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представителям органов законодательной и исполнительной власти, </w:t>
      </w:r>
      <w:r w:rsidRPr="00E75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обучающимся и их родителям, работникам системы образования, представителям средств массовой информации, общественным организациям </w:t>
      </w:r>
      <w:r w:rsidRPr="00E75367">
        <w:rPr>
          <w:rFonts w:ascii="Times New Roman" w:hAnsi="Times New Roman" w:cs="Times New Roman"/>
          <w:color w:val="000000"/>
          <w:spacing w:val="3"/>
          <w:sz w:val="24"/>
          <w:szCs w:val="24"/>
        </w:rPr>
        <w:t>и другим заинтересованным лицам.</w:t>
      </w:r>
    </w:p>
    <w:p w:rsidR="008B5236" w:rsidRPr="00E75367" w:rsidRDefault="008B5236" w:rsidP="008B5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 xml:space="preserve">1.3. </w:t>
      </w:r>
      <w:r w:rsidRPr="00E75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целями </w:t>
      </w:r>
      <w:r w:rsidRPr="00E75367">
        <w:rPr>
          <w:rFonts w:ascii="Times New Roman" w:hAnsi="Times New Roman" w:cs="Times New Roman"/>
          <w:color w:val="000000"/>
          <w:sz w:val="24"/>
          <w:szCs w:val="24"/>
        </w:rPr>
        <w:t>Публичного доклада являются:</w:t>
      </w:r>
    </w:p>
    <w:p w:rsidR="008B5236" w:rsidRPr="00E75367" w:rsidRDefault="008B5236" w:rsidP="008B5236">
      <w:pPr>
        <w:pStyle w:val="a3"/>
        <w:shd w:val="clear" w:color="auto" w:fill="FFFFFF"/>
        <w:ind w:left="0"/>
        <w:jc w:val="both"/>
      </w:pPr>
      <w:r w:rsidRPr="00E75367">
        <w:rPr>
          <w:color w:val="000000"/>
          <w:spacing w:val="4"/>
        </w:rPr>
        <w:t xml:space="preserve">- обеспечение информационной основы для организации диалога и </w:t>
      </w:r>
      <w:r w:rsidRPr="00E75367">
        <w:rPr>
          <w:color w:val="000000"/>
        </w:rPr>
        <w:t xml:space="preserve">согласования интересов всех участников образовательного процесса, включая </w:t>
      </w:r>
      <w:r w:rsidRPr="00E75367">
        <w:rPr>
          <w:color w:val="000000"/>
          <w:spacing w:val="-1"/>
        </w:rPr>
        <w:t>представителей общественности;</w:t>
      </w:r>
    </w:p>
    <w:p w:rsidR="008B5236" w:rsidRPr="00E75367" w:rsidRDefault="008B5236" w:rsidP="008B5236">
      <w:pPr>
        <w:pStyle w:val="a3"/>
        <w:shd w:val="clear" w:color="auto" w:fill="FFFFFF"/>
        <w:ind w:left="0"/>
        <w:jc w:val="both"/>
      </w:pPr>
      <w:r w:rsidRPr="00E75367">
        <w:rPr>
          <w:color w:val="000000"/>
          <w:spacing w:val="10"/>
        </w:rPr>
        <w:t xml:space="preserve">- обеспечение прозрачности функционирования региональной </w:t>
      </w:r>
      <w:r w:rsidRPr="00E75367">
        <w:rPr>
          <w:color w:val="000000"/>
        </w:rPr>
        <w:t>(муниципальной) системы образования и образовательных учреждений;</w:t>
      </w:r>
    </w:p>
    <w:p w:rsidR="008B5236" w:rsidRPr="00E75367" w:rsidRDefault="008B5236" w:rsidP="008B5236">
      <w:pPr>
        <w:pStyle w:val="a3"/>
        <w:shd w:val="clear" w:color="auto" w:fill="FFFFFF"/>
        <w:ind w:left="0"/>
        <w:jc w:val="both"/>
      </w:pPr>
      <w:r w:rsidRPr="00E75367">
        <w:rPr>
          <w:color w:val="000000"/>
          <w:spacing w:val="1"/>
        </w:rPr>
        <w:t xml:space="preserve">- информирование потребителей образовательных услуг о приоритетных </w:t>
      </w:r>
      <w:r w:rsidRPr="00E75367">
        <w:rPr>
          <w:color w:val="000000"/>
          <w:spacing w:val="2"/>
        </w:rPr>
        <w:t xml:space="preserve">направлениях развития  </w:t>
      </w:r>
      <w:r w:rsidRPr="00E75367">
        <w:rPr>
          <w:color w:val="000000"/>
          <w:spacing w:val="1"/>
        </w:rPr>
        <w:t xml:space="preserve"> Учреждения, планируемых мероприятиях и ожидаемых </w:t>
      </w:r>
      <w:r w:rsidRPr="00E75367">
        <w:rPr>
          <w:color w:val="000000"/>
          <w:spacing w:val="-1"/>
        </w:rPr>
        <w:t>результатах деятельности.</w:t>
      </w:r>
    </w:p>
    <w:p w:rsidR="008B5236" w:rsidRPr="00E75367" w:rsidRDefault="008B5236" w:rsidP="008B5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75367">
        <w:rPr>
          <w:rFonts w:ascii="Times New Roman" w:hAnsi="Times New Roman" w:cs="Times New Roman"/>
          <w:color w:val="000000"/>
          <w:spacing w:val="11"/>
          <w:sz w:val="24"/>
          <w:szCs w:val="24"/>
        </w:rPr>
        <w:t>1.4.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</w:p>
    <w:p w:rsidR="00817E5A" w:rsidRPr="003D5722" w:rsidRDefault="008B5236" w:rsidP="003D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1.5. </w:t>
      </w:r>
      <w:r w:rsidRPr="00E75367">
        <w:rPr>
          <w:rFonts w:ascii="Times New Roman" w:hAnsi="Times New Roman" w:cs="Times New Roman"/>
          <w:sz w:val="24"/>
          <w:szCs w:val="24"/>
        </w:rPr>
        <w:t>Доклад является документом постоянного хранения, Учреждение обеспечивает хранение Докладов и доступность Докладов для участников образовательного процесса.</w:t>
      </w:r>
    </w:p>
    <w:p w:rsidR="008B5236" w:rsidRPr="00E75367" w:rsidRDefault="008B5236" w:rsidP="008B5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367">
        <w:rPr>
          <w:rFonts w:ascii="Times New Roman" w:hAnsi="Times New Roman" w:cs="Times New Roman"/>
          <w:b/>
          <w:bCs/>
          <w:sz w:val="24"/>
          <w:szCs w:val="24"/>
        </w:rPr>
        <w:t>2. Структура Доклада</w:t>
      </w:r>
    </w:p>
    <w:p w:rsidR="008B5236" w:rsidRPr="00E75367" w:rsidRDefault="008B5236" w:rsidP="008B5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2.1. Доклад  содержит  в  себе   следующие основные разделы: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1. Общая характеристика Учреждения и условий его функционирования: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тип, вид, статус Учреждения;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лицензия на образовательную деятельность, государственная аккредитация; 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экономические и социальные условия  территории нахождения;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характеристика контингента </w:t>
      </w:r>
      <w:proofErr w:type="gramStart"/>
      <w:r w:rsidRPr="00E75367">
        <w:t>обучающихся</w:t>
      </w:r>
      <w:proofErr w:type="gramEnd"/>
      <w:r w:rsidRPr="00E75367">
        <w:t>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lastRenderedPageBreak/>
        <w:t>- основные позиции программы развития Учреждения;</w:t>
      </w:r>
    </w:p>
    <w:p w:rsidR="008B5236" w:rsidRPr="00E75367" w:rsidRDefault="00817E5A" w:rsidP="008B5236">
      <w:pPr>
        <w:pStyle w:val="a3"/>
        <w:ind w:left="0"/>
        <w:jc w:val="both"/>
      </w:pPr>
      <w:r>
        <w:t>-</w:t>
      </w:r>
      <w:r w:rsidR="008B5236" w:rsidRPr="00E75367">
        <w:t>структура управления общеобразовательного учреждения, включая контактную информацию ответственных лиц. Органы государственно-общественного управления и   самоуправления;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наличие сайта Учреждения;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контактная информация.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2. Особенности образовательного процесса: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характеристика образовательных программ по ступеням обучения;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дополнительные образовательные услуги;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организация изучения иностранных языков;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образовательные технологии и методы обучения, используемые в образовательном  процессе;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основные направления воспитательной деятельности;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виды внеклассной, внеурочной деятельности;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кружки, секции;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характеристика </w:t>
      </w:r>
      <w:proofErr w:type="spellStart"/>
      <w:r w:rsidRPr="00E75367">
        <w:t>внутришкольной</w:t>
      </w:r>
      <w:proofErr w:type="spellEnd"/>
      <w:r w:rsidRPr="00E75367">
        <w:t xml:space="preserve"> системы оценки качества.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3. Условия осуществления образовательного процесса: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режим работы;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материально-техническая база, благоустройство, оснащенность;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</w:t>
      </w:r>
      <w:r w:rsidRPr="00E75367">
        <w:rPr>
          <w:lang w:val="en-US"/>
        </w:rPr>
        <w:t>IT</w:t>
      </w:r>
      <w:r w:rsidRPr="00E75367">
        <w:t>-инфраструктура;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условия для занятий физкультурой и спортом;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условия для </w:t>
      </w:r>
      <w:proofErr w:type="spellStart"/>
      <w:r w:rsidRPr="00E75367">
        <w:t>досуговой</w:t>
      </w:r>
      <w:proofErr w:type="spellEnd"/>
      <w:r w:rsidRPr="00E75367">
        <w:t xml:space="preserve"> деятельности и дополнительного образования;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организация летнего отдыха детей;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организация питания, медицинского обслуживания;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обеспечение безопасности;</w:t>
      </w:r>
    </w:p>
    <w:p w:rsidR="008B5236" w:rsidRPr="00E75367" w:rsidRDefault="008B5236" w:rsidP="008B5236">
      <w:pPr>
        <w:pStyle w:val="a3"/>
        <w:ind w:left="0"/>
        <w:jc w:val="both"/>
      </w:pPr>
      <w:proofErr w:type="gramStart"/>
      <w:r w:rsidRPr="00E75367">
        <w:t>- кадровый состав (административный, педагогический, вспомогательный; уровень квалификации, система повышения квалификации; награды, звания, заслуги);</w:t>
      </w:r>
      <w:proofErr w:type="gramEnd"/>
    </w:p>
    <w:p w:rsidR="008B5236" w:rsidRPr="00E75367" w:rsidRDefault="008B5236" w:rsidP="008B5236">
      <w:pPr>
        <w:pStyle w:val="a3"/>
        <w:ind w:left="0"/>
        <w:jc w:val="both"/>
      </w:pPr>
      <w:r w:rsidRPr="00E75367">
        <w:t>- средняя наполняемость классов.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4. Результаты деятельности учреждения: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результаты  государственной (итоговой) аттестации в 9 классе;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результаты мониторинговых исследований качества обучения муниципального и регионального уровней;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результаты </w:t>
      </w:r>
      <w:proofErr w:type="spellStart"/>
      <w:r w:rsidRPr="00E75367">
        <w:t>внутришкольной</w:t>
      </w:r>
      <w:proofErr w:type="spellEnd"/>
      <w:r w:rsidRPr="00E75367">
        <w:t xml:space="preserve"> оценки качества образования;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достижения учащихся в олимпиадах;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данные о поступлениях в учреждения профессионального образования;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данные о состоянии здоровья </w:t>
      </w:r>
      <w:proofErr w:type="gramStart"/>
      <w:r w:rsidRPr="00E75367">
        <w:t>обучающихся</w:t>
      </w:r>
      <w:proofErr w:type="gramEnd"/>
      <w:r w:rsidRPr="00E75367">
        <w:t xml:space="preserve"> (в динамике по группам здоровья);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достижения учащихся и их коллективов в районных, областных, федеральных конкурсах, соревнованиях и т.п.;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достижения учреждения в конкурсах;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оценки и отзывы потребителей образовательных услуг.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5. Социальная активность и внешние связи Учреждения: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проекты и мероприятия, реализуемые в интересах и с участием местного сообщества;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социальное партнерство Учреждения (сотрудничество с  учреждениями среднего профобразования, предприятиями, некоммерческими организациями и общественными объединениями);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партнеры, спонсоры Учреждения;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проекты и программы, поддерживаемые партнерами, спонсорами, фондами;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участие Учреждения в сетевом взаимодействии;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членство в ассоциациях, профессиональных объединениях.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6. Финансово-экономическая деятельность.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годовой бюджет;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распределение средств бюджета по источникам их получения;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lastRenderedPageBreak/>
        <w:t>- направление использования бюджетных средств;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использование сре</w:t>
      </w:r>
      <w:proofErr w:type="gramStart"/>
      <w:r w:rsidRPr="00E75367">
        <w:t>дств сп</w:t>
      </w:r>
      <w:proofErr w:type="gramEnd"/>
      <w:r w:rsidRPr="00E75367">
        <w:t>онсоров, благотворительности.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7. Решения, принятые по итогам общественного обсуждения: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информация о решениях, принятых Учреждением в течение учебного года по итогам общественного обсуждения, и их реализации.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Раздел 8.  Заключение. Перспективы и планы развития: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 xml:space="preserve">- подведение </w:t>
      </w:r>
      <w:proofErr w:type="gramStart"/>
      <w:r w:rsidRPr="00E75367">
        <w:t>итогов реализации программы развития Учреждения</w:t>
      </w:r>
      <w:proofErr w:type="gramEnd"/>
      <w:r w:rsidRPr="00E75367">
        <w:t xml:space="preserve"> за отчетный год;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задачи реализации программы развития Учреждения на следующий год и в среднесрочной перспективе;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новые проекты, программы, технологии;</w:t>
      </w:r>
    </w:p>
    <w:p w:rsidR="008B5236" w:rsidRPr="00E75367" w:rsidRDefault="008B5236" w:rsidP="008B5236">
      <w:pPr>
        <w:pStyle w:val="a3"/>
        <w:ind w:left="0"/>
        <w:jc w:val="both"/>
      </w:pPr>
      <w:r w:rsidRPr="00E75367">
        <w:t>- проекты, программы, конкурсы, гранты, в которых планирует принять участие учреждение в предстоящем году.</w:t>
      </w:r>
    </w:p>
    <w:p w:rsidR="008B5236" w:rsidRPr="00E75367" w:rsidRDefault="008B5236" w:rsidP="008B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 xml:space="preserve">2.2.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E75367"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 w:rsidRPr="00E75367">
        <w:rPr>
          <w:rFonts w:ascii="Times New Roman" w:hAnsi="Times New Roman" w:cs="Times New Roman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 </w:t>
      </w:r>
    </w:p>
    <w:p w:rsidR="008B5236" w:rsidRPr="00E75367" w:rsidRDefault="008B5236" w:rsidP="008B52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236" w:rsidRPr="00E75367" w:rsidRDefault="008B5236" w:rsidP="00E75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75367">
        <w:rPr>
          <w:rFonts w:ascii="Times New Roman" w:hAnsi="Times New Roman" w:cs="Times New Roman"/>
          <w:b/>
          <w:bCs/>
          <w:sz w:val="24"/>
          <w:szCs w:val="24"/>
        </w:rPr>
        <w:t>3. Подготовка Доклада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75367">
        <w:rPr>
          <w:rFonts w:ascii="Times New Roman" w:hAnsi="Times New Roman" w:cs="Times New Roman"/>
          <w:sz w:val="24"/>
          <w:szCs w:val="24"/>
        </w:rPr>
        <w:t>3.1.</w:t>
      </w:r>
      <w:r w:rsidRPr="006441AE">
        <w:rPr>
          <w:rFonts w:ascii="Times New Roman" w:hAnsi="Times New Roman" w:cs="Times New Roman"/>
          <w:iCs/>
          <w:color w:val="000000"/>
          <w:spacing w:val="21"/>
          <w:sz w:val="24"/>
          <w:szCs w:val="24"/>
        </w:rPr>
        <w:t>Решение о подготовке</w:t>
      </w:r>
      <w:r w:rsidRPr="006441AE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6441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Публичного доклада принимается </w:t>
      </w: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руководителем  У</w:t>
      </w:r>
      <w:r w:rsidRPr="006441AE">
        <w:rPr>
          <w:rFonts w:ascii="Times New Roman" w:hAnsi="Times New Roman" w:cs="Times New Roman"/>
          <w:color w:val="000000"/>
          <w:spacing w:val="4"/>
          <w:sz w:val="24"/>
          <w:szCs w:val="24"/>
        </w:rPr>
        <w:t>чреждения.</w:t>
      </w:r>
    </w:p>
    <w:p w:rsidR="008B5236" w:rsidRPr="006441AE" w:rsidRDefault="00817E5A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3.2.</w:t>
      </w:r>
      <w:r w:rsidR="008B5236"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Рекомендуемые даты опубликования (размещения на сайте) Публичного доклада - не позднее 1 августа. </w:t>
      </w:r>
    </w:p>
    <w:p w:rsidR="008B5236" w:rsidRPr="006441AE" w:rsidRDefault="00817E5A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3.3.</w:t>
      </w:r>
      <w:r w:rsidR="008B5236"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Порядок подготовки Публичного доклада регламентируется локальным нормативным правовым актом Учреждения, согласованным с   советом Учреждения.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3.4.Регламентирующие подготовку и публикацию Публичного доклада локальные нормативные правовые акты должны включать следующие основные позиции: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утверждение состава рабочей (редакционной) группы по подготовке Публичного доклада;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утверждение сетевого трафика по подготовке Публичного доклада,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 xml:space="preserve">- сбор и обработку необходимых для доклада данных, 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написание доклада,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 xml:space="preserve">- обсуждение проекта доклада, 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доработку проекта доклада по результатам обсуждения,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 xml:space="preserve">- его утверждение </w:t>
      </w:r>
      <w:r w:rsidRPr="006441AE">
        <w:t>и подготовка его к публикации</w:t>
      </w:r>
      <w:r w:rsidRPr="006441AE">
        <w:rPr>
          <w:color w:val="000000"/>
          <w:spacing w:val="11"/>
        </w:rPr>
        <w:t>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утверждение перечня мероприятий, связанных с распространением Публичного доклада.</w:t>
      </w:r>
    </w:p>
    <w:p w:rsidR="008B5236" w:rsidRPr="006441AE" w:rsidRDefault="00817E5A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3.5.</w:t>
      </w:r>
      <w:r w:rsidR="008B5236"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 xml:space="preserve">- необходимость и достаточность - приводимые данные и факты должны служить исключительно целям обоснования или иллюстрации определенных тезисов и </w:t>
      </w:r>
      <w:r w:rsidRPr="006441AE">
        <w:rPr>
          <w:color w:val="000000"/>
          <w:spacing w:val="11"/>
        </w:rPr>
        <w:lastRenderedPageBreak/>
        <w:t>положений публичного доклада. Дополнительная информация может быть приведена в приложении.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3.6. Публичный доклад должен включать аналитическую информацию, основанную па показателях, содержательно характеризующих состояние и тенденции развития системы образования или образовательного учреждения.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3.7. 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Учреждения.</w:t>
      </w:r>
    </w:p>
    <w:p w:rsidR="008B5236" w:rsidRPr="006441AE" w:rsidRDefault="008B5236" w:rsidP="00644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1AE">
        <w:rPr>
          <w:rFonts w:ascii="Times New Roman" w:hAnsi="Times New Roman" w:cs="Times New Roman"/>
          <w:b/>
          <w:bCs/>
          <w:sz w:val="24"/>
          <w:szCs w:val="24"/>
        </w:rPr>
        <w:t>4. Публикация  доклада</w:t>
      </w:r>
    </w:p>
    <w:p w:rsidR="008B5236" w:rsidRPr="006441AE" w:rsidRDefault="008B5236" w:rsidP="0064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AE">
        <w:rPr>
          <w:rFonts w:ascii="Times New Roman" w:hAnsi="Times New Roman" w:cs="Times New Roman"/>
          <w:sz w:val="24"/>
          <w:szCs w:val="24"/>
        </w:rPr>
        <w:t xml:space="preserve">4.1. Подготовленный утвержденный Доклад публикуется и доводится до общественности. 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sz w:val="24"/>
          <w:szCs w:val="24"/>
        </w:rPr>
        <w:t xml:space="preserve">4.2. </w:t>
      </w: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Основными информационными каналами для публикации Публичного доклада являются: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сайт Учреждения;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отдельное (печатное или электронное) издание;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  <w:rPr>
          <w:color w:val="000000"/>
          <w:spacing w:val="11"/>
        </w:rPr>
      </w:pPr>
      <w:r w:rsidRPr="006441AE">
        <w:rPr>
          <w:color w:val="000000"/>
          <w:spacing w:val="11"/>
        </w:rPr>
        <w:t>- средства массовой информации.</w:t>
      </w:r>
    </w:p>
    <w:p w:rsidR="008B5236" w:rsidRPr="006441AE" w:rsidRDefault="008B5236" w:rsidP="00644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441AE">
        <w:rPr>
          <w:rFonts w:ascii="Times New Roman" w:hAnsi="Times New Roman" w:cs="Times New Roman"/>
          <w:color w:val="000000"/>
          <w:spacing w:val="11"/>
          <w:sz w:val="24"/>
          <w:szCs w:val="24"/>
        </w:rPr>
        <w:t>4.2.1. Наряду с распространением Публичного доклада   организуется его обсуждение с привлечением общественных организаций и объединений: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</w:pPr>
      <w:r w:rsidRPr="006441AE">
        <w:t>- проведение специального общешкольного роди</w:t>
      </w:r>
      <w:r w:rsidR="00817E5A" w:rsidRPr="006441AE">
        <w:t>тельского собрания</w:t>
      </w:r>
      <w:r w:rsidRPr="006441AE">
        <w:t>,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</w:pPr>
      <w:r w:rsidRPr="006441AE">
        <w:t xml:space="preserve">- педагогического совета или  собрания трудового коллектива, </w:t>
      </w:r>
    </w:p>
    <w:p w:rsidR="008B5236" w:rsidRPr="006441AE" w:rsidRDefault="008B5236" w:rsidP="006441AE">
      <w:pPr>
        <w:pStyle w:val="a3"/>
        <w:shd w:val="clear" w:color="auto" w:fill="FFFFFF"/>
        <w:ind w:left="0"/>
        <w:jc w:val="both"/>
      </w:pPr>
      <w:r w:rsidRPr="006441AE">
        <w:t xml:space="preserve">- собраний и встреч с </w:t>
      </w:r>
      <w:proofErr w:type="gramStart"/>
      <w:r w:rsidRPr="006441AE">
        <w:t>об</w:t>
      </w:r>
      <w:r w:rsidR="00817E5A" w:rsidRPr="006441AE">
        <w:t>у</w:t>
      </w:r>
      <w:r w:rsidRPr="006441AE">
        <w:t>чающимися</w:t>
      </w:r>
      <w:proofErr w:type="gramEnd"/>
      <w:r w:rsidRPr="006441AE">
        <w:t xml:space="preserve">; </w:t>
      </w:r>
    </w:p>
    <w:p w:rsidR="008B5236" w:rsidRPr="006441AE" w:rsidRDefault="008B5236" w:rsidP="006441AE">
      <w:pPr>
        <w:pStyle w:val="a3"/>
        <w:ind w:left="0"/>
        <w:jc w:val="both"/>
      </w:pPr>
      <w:r w:rsidRPr="006441AE">
        <w:t>- проведение дня открытых дверей, в рамках которого Доклад   представлен родителям в форме стендового доклада (презентации);</w:t>
      </w:r>
    </w:p>
    <w:p w:rsidR="008B5236" w:rsidRPr="006441AE" w:rsidRDefault="008B5236" w:rsidP="0064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AE">
        <w:rPr>
          <w:rFonts w:ascii="Times New Roman" w:hAnsi="Times New Roman" w:cs="Times New Roman"/>
          <w:sz w:val="24"/>
          <w:szCs w:val="24"/>
        </w:rPr>
        <w:t xml:space="preserve"> Информирование  общественности    проводится  также  через  муниципальные  информационно-методические  центры, органы  местной администрации.</w:t>
      </w:r>
    </w:p>
    <w:p w:rsidR="008B5236" w:rsidRPr="006441AE" w:rsidRDefault="008B5236" w:rsidP="006441AE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AE">
        <w:rPr>
          <w:rFonts w:ascii="Times New Roman" w:hAnsi="Times New Roman" w:cs="Times New Roman"/>
          <w:sz w:val="24"/>
          <w:szCs w:val="24"/>
        </w:rPr>
        <w:t>4.3. В Докладе указываются формы обратной связи - способы (включая электронные) направления в Учреждение вопросов, замечаний и предложений  по  Докладу  и  связанными  с  ним  различными  аспектами  деятельности  Учреждения.</w:t>
      </w:r>
    </w:p>
    <w:p w:rsidR="008B5236" w:rsidRPr="006441AE" w:rsidRDefault="008B5236" w:rsidP="0064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236" w:rsidRPr="006441AE" w:rsidRDefault="008B5236" w:rsidP="0064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236" w:rsidRPr="006441AE" w:rsidSect="00F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236"/>
    <w:rsid w:val="00202874"/>
    <w:rsid w:val="003D5722"/>
    <w:rsid w:val="005D3A1B"/>
    <w:rsid w:val="006441AE"/>
    <w:rsid w:val="00810638"/>
    <w:rsid w:val="00817E5A"/>
    <w:rsid w:val="008B5236"/>
    <w:rsid w:val="008F1D3C"/>
    <w:rsid w:val="00B5377D"/>
    <w:rsid w:val="00E75367"/>
    <w:rsid w:val="00F77DE0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</cp:revision>
  <dcterms:created xsi:type="dcterms:W3CDTF">2016-03-23T07:43:00Z</dcterms:created>
  <dcterms:modified xsi:type="dcterms:W3CDTF">2016-05-07T06:20:00Z</dcterms:modified>
</cp:coreProperties>
</file>